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A43C" w14:textId="77777777" w:rsidR="00FC7E58" w:rsidRDefault="003974D6">
      <w:pPr>
        <w:ind w:left="4" w:hanging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60"/>
          <w:szCs w:val="60"/>
        </w:rPr>
        <w:t>ADVANCED INDIVIDUAL TACTICS</w:t>
      </w:r>
    </w:p>
    <w:p w14:paraId="146FA43D" w14:textId="77777777" w:rsidR="00FC7E58" w:rsidRDefault="003974D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pict w14:anchorId="146FA462">
          <v:rect id="_x0000_i1025" style="width:0;height:1.5pt" o:hralign="center" o:hrstd="t" o:hr="t" fillcolor="#a0a0a0" stroked="f"/>
        </w:pict>
      </w:r>
    </w:p>
    <w:p w14:paraId="146FA43E" w14:textId="77777777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CSAT </w:t>
      </w:r>
      <w:r>
        <w:rPr>
          <w:rFonts w:ascii="Calibri" w:eastAsia="Calibri" w:hAnsi="Calibri" w:cs="Calibri"/>
          <w:sz w:val="22"/>
          <w:szCs w:val="22"/>
        </w:rPr>
        <w:t>conducts</w:t>
      </w:r>
      <w:r>
        <w:rPr>
          <w:rFonts w:ascii="Calibri" w:eastAsia="Calibri" w:hAnsi="Calibri" w:cs="Calibri"/>
          <w:sz w:val="22"/>
          <w:szCs w:val="22"/>
        </w:rPr>
        <w:t xml:space="preserve"> a three-day ADVANCED INDIVIDUAL TACTICS COURSE in NACOGDOCHES, TEXAS.  A comprehensive list of units/departments CSAT has trained can be found at 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www.combatshootingandtactics.com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46FA43F" w14:textId="77777777" w:rsidR="00FC7E58" w:rsidRDefault="00FC7E5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6FA440" w14:textId="7838C90F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class is designed to further the skills students learned in Basic Handgun courses.</w:t>
      </w:r>
      <w:r w:rsidR="009C24C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Completion of a reputable basic handgun course is required to attend this course.</w:t>
      </w:r>
      <w:r w:rsidR="009C24C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The skills listed below will be covered during AIT both in light/no light environments. </w:t>
      </w:r>
    </w:p>
    <w:p w14:paraId="146FA441" w14:textId="77777777" w:rsidR="00FC7E58" w:rsidRDefault="00FC7E5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6FA442" w14:textId="77777777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Safety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Exterior Contact</w:t>
      </w:r>
    </w:p>
    <w:p w14:paraId="146FA443" w14:textId="77777777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Combat Mindset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Single Hallway CQB</w:t>
      </w:r>
    </w:p>
    <w:p w14:paraId="146FA444" w14:textId="77777777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Basic Live Fire Review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Single CQB/T Intersections</w:t>
      </w:r>
    </w:p>
    <w:p w14:paraId="146FA445" w14:textId="77777777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Range Fire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Medical</w:t>
      </w:r>
    </w:p>
    <w:p w14:paraId="146FA446" w14:textId="77777777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Barricade Work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Live Fire Culmination Scenarios</w:t>
      </w:r>
    </w:p>
    <w:p w14:paraId="146FA447" w14:textId="77777777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Vehicle Bailouts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Low Light all of the above</w:t>
      </w:r>
    </w:p>
    <w:p w14:paraId="146FA448" w14:textId="77777777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146FA449" w14:textId="03C17869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course will focus on </w:t>
      </w:r>
      <w:r>
        <w:rPr>
          <w:rFonts w:ascii="Calibri" w:eastAsia="Calibri" w:hAnsi="Calibri" w:cs="Calibri"/>
          <w:sz w:val="22"/>
          <w:szCs w:val="22"/>
        </w:rPr>
        <w:t xml:space="preserve">safely </w:t>
      </w:r>
      <w:r>
        <w:rPr>
          <w:rFonts w:ascii="Calibri" w:eastAsia="Calibri" w:hAnsi="Calibri" w:cs="Calibri"/>
          <w:sz w:val="22"/>
          <w:szCs w:val="22"/>
        </w:rPr>
        <w:t xml:space="preserve">resolving active shooter problems wherever they are encountered to include a safe </w:t>
      </w:r>
      <w:r w:rsidR="009C24CF">
        <w:rPr>
          <w:rFonts w:ascii="Calibri" w:eastAsia="Calibri" w:hAnsi="Calibri" w:cs="Calibri"/>
          <w:sz w:val="22"/>
          <w:szCs w:val="22"/>
        </w:rPr>
        <w:t>link-up</w:t>
      </w:r>
      <w:r>
        <w:rPr>
          <w:rFonts w:ascii="Calibri" w:eastAsia="Calibri" w:hAnsi="Calibri" w:cs="Calibri"/>
          <w:sz w:val="22"/>
          <w:szCs w:val="22"/>
        </w:rPr>
        <w:t xml:space="preserve"> with police.</w:t>
      </w:r>
      <w:r w:rsidR="009C24C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Course material will be applicable to civilians, teachers</w:t>
      </w:r>
      <w:r w:rsidR="005D79AF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and police.</w:t>
      </w:r>
    </w:p>
    <w:p w14:paraId="146FA44A" w14:textId="77777777" w:rsidR="00FC7E58" w:rsidRDefault="00FC7E5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6FA44B" w14:textId="77777777" w:rsidR="00FC7E58" w:rsidRDefault="003974D6">
      <w:pPr>
        <w:keepNext/>
        <w:ind w:left="0" w:hanging="2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>PHYSICAL REQUIREMENTS:</w:t>
      </w:r>
      <w:r>
        <w:rPr>
          <w:rFonts w:ascii="Calibri" w:eastAsia="Calibri" w:hAnsi="Calibri" w:cs="Calibri"/>
          <w:sz w:val="22"/>
          <w:szCs w:val="22"/>
        </w:rPr>
        <w:t xml:space="preserve">  None</w:t>
      </w:r>
    </w:p>
    <w:p w14:paraId="146FA44C" w14:textId="77777777" w:rsidR="00FC7E58" w:rsidRDefault="00FC7E5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6FA44D" w14:textId="4C4FEFA4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EQUIPMENT NEEDED:</w:t>
      </w:r>
      <w:r>
        <w:rPr>
          <w:rFonts w:ascii="Calibri" w:eastAsia="Calibri" w:hAnsi="Calibri" w:cs="Calibri"/>
          <w:sz w:val="22"/>
          <w:szCs w:val="22"/>
        </w:rPr>
        <w:tab/>
        <w:t>Concealment Bag or holster, pistol, eye and ear protection.</w:t>
      </w:r>
      <w:r w:rsidR="009C24C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A hand-held light is required</w:t>
      </w:r>
      <w:r w:rsidR="005D79AF">
        <w:rPr>
          <w:rFonts w:ascii="Calibri" w:eastAsia="Calibri" w:hAnsi="Calibri" w:cs="Calibri"/>
          <w:sz w:val="22"/>
          <w:szCs w:val="22"/>
        </w:rPr>
        <w:t>; weapon</w:t>
      </w:r>
      <w:r>
        <w:rPr>
          <w:rFonts w:ascii="Calibri" w:eastAsia="Calibri" w:hAnsi="Calibri" w:cs="Calibri"/>
          <w:sz w:val="22"/>
          <w:szCs w:val="22"/>
        </w:rPr>
        <w:t xml:space="preserve"> lights are optional.</w:t>
      </w:r>
      <w:r w:rsidR="009C24C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Bring extra batteries and train how you intend to fight.</w:t>
      </w:r>
      <w:r w:rsidR="009C24C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Bring inclement weather gear as required.</w:t>
      </w:r>
      <w:r w:rsidR="009C24C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Students will deploy </w:t>
      </w:r>
      <w:r>
        <w:rPr>
          <w:rFonts w:ascii="Calibri" w:eastAsia="Calibri" w:hAnsi="Calibri" w:cs="Calibri"/>
          <w:sz w:val="22"/>
          <w:szCs w:val="22"/>
        </w:rPr>
        <w:t>weapons</w:t>
      </w:r>
      <w:r>
        <w:rPr>
          <w:rFonts w:ascii="Calibri" w:eastAsia="Calibri" w:hAnsi="Calibri" w:cs="Calibri"/>
          <w:sz w:val="22"/>
          <w:szCs w:val="22"/>
        </w:rPr>
        <w:t xml:space="preserve"> from concealed carry or Active Shooter </w:t>
      </w:r>
      <w:r w:rsidR="005D79AF">
        <w:rPr>
          <w:rFonts w:ascii="Calibri" w:eastAsia="Calibri" w:hAnsi="Calibri" w:cs="Calibri"/>
          <w:sz w:val="22"/>
          <w:szCs w:val="22"/>
        </w:rPr>
        <w:t>bags</w:t>
      </w:r>
      <w:r>
        <w:rPr>
          <w:rFonts w:ascii="Calibri" w:eastAsia="Calibri" w:hAnsi="Calibri" w:cs="Calibri"/>
          <w:sz w:val="22"/>
          <w:szCs w:val="22"/>
        </w:rPr>
        <w:t xml:space="preserve"> during all scenarios and range fire.</w:t>
      </w:r>
    </w:p>
    <w:p w14:paraId="146FA44E" w14:textId="77777777" w:rsidR="00FC7E58" w:rsidRDefault="00FC7E5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6FA44F" w14:textId="77777777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Ammunition</w:t>
      </w:r>
    </w:p>
    <w:p w14:paraId="146FA450" w14:textId="77777777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Pistol Ball (or duty)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600 rounds if Pistol AIT</w:t>
      </w:r>
    </w:p>
    <w:p w14:paraId="146FA451" w14:textId="77777777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Rifle Ball (or duty)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600 rounds if Rifle AIT</w:t>
      </w:r>
    </w:p>
    <w:p w14:paraId="146FA452" w14:textId="77777777" w:rsidR="00FC7E58" w:rsidRDefault="00FC7E58">
      <w:pPr>
        <w:ind w:left="0" w:hanging="2"/>
        <w:rPr>
          <w:rFonts w:ascii="Calibri" w:eastAsia="Calibri" w:hAnsi="Calibri" w:cs="Calibri"/>
          <w:color w:val="FF0000"/>
          <w:sz w:val="22"/>
          <w:szCs w:val="22"/>
        </w:rPr>
      </w:pPr>
    </w:p>
    <w:p w14:paraId="146FA453" w14:textId="77777777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Host Hotels:</w:t>
      </w:r>
    </w:p>
    <w:p w14:paraId="146FA454" w14:textId="77777777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BARRACKS WILL BE AVAILABLE FOR THIS COURSE</w:t>
      </w:r>
    </w:p>
    <w:p w14:paraId="146FA455" w14:textId="77777777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Tuition includes lodging.  This course is limited (12 students).  No refunds or cancellations 30 days prior to course start. </w:t>
      </w:r>
    </w:p>
    <w:p w14:paraId="146FA456" w14:textId="77777777" w:rsidR="00FC7E58" w:rsidRDefault="00FC7E5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6FA457" w14:textId="77777777" w:rsidR="00FC7E58" w:rsidRDefault="003974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Make checks payable to CSAT.  To register, e-mail: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paulkoko@hotmail.com</w:t>
        </w:r>
      </w:hyperlink>
      <w:r>
        <w:rPr>
          <w:rFonts w:ascii="Calibri" w:eastAsia="Calibri" w:hAnsi="Calibri" w:cs="Calibri"/>
          <w:sz w:val="22"/>
          <w:szCs w:val="22"/>
        </w:rPr>
        <w:t xml:space="preserve">  (Paul Howe)</w:t>
      </w:r>
    </w:p>
    <w:p w14:paraId="146FA458" w14:textId="77777777" w:rsidR="00FC7E58" w:rsidRDefault="00FC7E5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6FA459" w14:textId="77777777" w:rsidR="00FC7E58" w:rsidRDefault="00FC7E5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6FA45A" w14:textId="77777777" w:rsidR="00FC7E58" w:rsidRDefault="00FC7E5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6FA45B" w14:textId="77777777" w:rsidR="00FC7E58" w:rsidRDefault="00FC7E5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6FA45C" w14:textId="77777777" w:rsidR="00FC7E58" w:rsidRDefault="00FC7E5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6FA45D" w14:textId="77777777" w:rsidR="00FC7E58" w:rsidRDefault="00FC7E5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6FA45E" w14:textId="77777777" w:rsidR="00FC7E58" w:rsidRDefault="00FC7E5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6FA45F" w14:textId="77777777" w:rsidR="00FC7E58" w:rsidRDefault="00FC7E5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6FA460" w14:textId="77777777" w:rsidR="00FC7E58" w:rsidRDefault="00FC7E5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6FA461" w14:textId="77777777" w:rsidR="00FC7E58" w:rsidRDefault="00FC7E5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FC7E58">
      <w:headerReference w:type="default" r:id="rId9"/>
      <w:headerReference w:type="first" r:id="rId10"/>
      <w:footerReference w:type="first" r:id="rId11"/>
      <w:pgSz w:w="12240" w:h="15840"/>
      <w:pgMar w:top="792" w:right="1440" w:bottom="720" w:left="144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A46A" w14:textId="77777777" w:rsidR="003974D6" w:rsidRDefault="003974D6">
      <w:pPr>
        <w:spacing w:line="240" w:lineRule="auto"/>
        <w:ind w:left="0" w:hanging="2"/>
      </w:pPr>
      <w:r>
        <w:separator/>
      </w:r>
    </w:p>
  </w:endnote>
  <w:endnote w:type="continuationSeparator" w:id="0">
    <w:p w14:paraId="146FA46C" w14:textId="77777777" w:rsidR="003974D6" w:rsidRDefault="003974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A465" w14:textId="77777777" w:rsidR="00FC7E58" w:rsidRDefault="00FC7E58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A466" w14:textId="77777777" w:rsidR="003974D6" w:rsidRDefault="003974D6">
      <w:pPr>
        <w:spacing w:line="240" w:lineRule="auto"/>
        <w:ind w:left="0" w:hanging="2"/>
      </w:pPr>
      <w:r>
        <w:separator/>
      </w:r>
    </w:p>
  </w:footnote>
  <w:footnote w:type="continuationSeparator" w:id="0">
    <w:p w14:paraId="146FA468" w14:textId="77777777" w:rsidR="003974D6" w:rsidRDefault="003974D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A463" w14:textId="77777777" w:rsidR="00FC7E58" w:rsidRDefault="003974D6">
    <w:pPr>
      <w:ind w:left="0" w:hanging="2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146FA466" wp14:editId="146FA467">
          <wp:simplePos x="0" y="0"/>
          <wp:positionH relativeFrom="page">
            <wp:posOffset>3124200</wp:posOffset>
          </wp:positionH>
          <wp:positionV relativeFrom="page">
            <wp:posOffset>310515</wp:posOffset>
          </wp:positionV>
          <wp:extent cx="1521308" cy="442913"/>
          <wp:effectExtent l="0" t="0" r="0" b="0"/>
          <wp:wrapTopAndBottom distT="0" distB="0"/>
          <wp:docPr id="3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1308" cy="442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A464" w14:textId="77777777" w:rsidR="00FC7E58" w:rsidRDefault="00FC7E58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1NDI1NLUwtjQzM7JU0lEKTi0uzszPAykwrAUA4+PVHiwAAAA="/>
  </w:docVars>
  <w:rsids>
    <w:rsidRoot w:val="00FC7E58"/>
    <w:rsid w:val="003974D6"/>
    <w:rsid w:val="005D79AF"/>
    <w:rsid w:val="009C24CF"/>
    <w:rsid w:val="00F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46FA43C"/>
  <w15:docId w15:val="{F7E301D3-2FAB-4AED-AB55-B2728DEA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ind w:left="2160" w:hanging="2160"/>
    </w:pPr>
    <w:rPr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2160" w:hanging="2160"/>
    </w:pPr>
    <w:rPr>
      <w:b/>
    </w:rPr>
  </w:style>
  <w:style w:type="paragraph" w:styleId="BodyTextIndent2">
    <w:name w:val="Body Text Indent 2"/>
    <w:basedOn w:val="Normal"/>
    <w:pPr>
      <w:ind w:left="2160" w:hanging="2160"/>
    </w:pPr>
    <w:rPr>
      <w:sz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rPr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MessageHeaderChar">
    <w:name w:val="Message Header Char"/>
    <w:rPr>
      <w:rFonts w:ascii="Arial" w:hAnsi="Arial" w:cs="Arial"/>
      <w:w w:val="100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blockemailwithname2">
    <w:name w:val="blockemailwithname2"/>
    <w:rPr>
      <w:color w:val="444444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koko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batshootingandtactic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lAjVIMxGHX2/+HlamokNevqrjQ==">AMUW2mWLcLEY9Jv6FQN/z8QR0LoC4v0gji/SNPw6CLnx3SINJ4vZVQJ8eVvW5uIgnBL2GctLNF3zPiCSlcF9Ub5G0/AVGczFq9dbh+fLQPb9e1VBCCachWk=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51</Lines>
  <Paragraphs>24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Finley</dc:creator>
  <cp:lastModifiedBy>Mike Cahill</cp:lastModifiedBy>
  <cp:revision>2</cp:revision>
  <dcterms:created xsi:type="dcterms:W3CDTF">2023-12-08T12:38:00Z</dcterms:created>
  <dcterms:modified xsi:type="dcterms:W3CDTF">2023-12-08T12:38:00Z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031f97b17daf41aa84a254b75a5ce6b7ac8a381023b383d82d98dceea29df26f</vt:lpwstr>
  </property>
</Properties>
</file>